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</w:t>
      </w:r>
      <w:r w:rsidR="00AB2F5B">
        <w:rPr>
          <w:b/>
          <w:sz w:val="36"/>
          <w:szCs w:val="36"/>
        </w:rPr>
        <w:t xml:space="preserve"> Продвинутый </w:t>
      </w:r>
      <w:proofErr w:type="spellStart"/>
      <w:r w:rsidR="00AB2F5B">
        <w:rPr>
          <w:b/>
          <w:sz w:val="36"/>
          <w:szCs w:val="36"/>
        </w:rPr>
        <w:t>курс</w:t>
      </w:r>
      <w:r w:rsidR="002D004D">
        <w:rPr>
          <w:b/>
          <w:sz w:val="36"/>
          <w:szCs w:val="36"/>
        </w:rPr>
        <w:t>.</w:t>
      </w:r>
      <w:r w:rsidR="001B7F9D">
        <w:rPr>
          <w:b/>
          <w:sz w:val="36"/>
          <w:szCs w:val="36"/>
        </w:rPr>
        <w:t>Верхняя</w:t>
      </w:r>
      <w:proofErr w:type="spellEnd"/>
      <w:r w:rsidR="001B7F9D">
        <w:rPr>
          <w:b/>
          <w:sz w:val="36"/>
          <w:szCs w:val="36"/>
        </w:rPr>
        <w:t xml:space="preserve"> конечность. Шея, грудной отдел.</w:t>
      </w:r>
      <w:bookmarkStart w:id="0" w:name="_GoBack"/>
      <w:bookmarkEnd w:id="0"/>
      <w:r>
        <w:rPr>
          <w:b/>
          <w:sz w:val="36"/>
          <w:szCs w:val="36"/>
        </w:rPr>
        <w:t>»</w:t>
      </w:r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>, Ревматология, Рефлексотерапия, 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860DA"/>
    <w:rsid w:val="001B7F9D"/>
    <w:rsid w:val="001F5B5C"/>
    <w:rsid w:val="00260473"/>
    <w:rsid w:val="002D004D"/>
    <w:rsid w:val="002F5FD3"/>
    <w:rsid w:val="003B1458"/>
    <w:rsid w:val="003C4437"/>
    <w:rsid w:val="004F3679"/>
    <w:rsid w:val="00523BC5"/>
    <w:rsid w:val="00602665"/>
    <w:rsid w:val="0068189F"/>
    <w:rsid w:val="006A531C"/>
    <w:rsid w:val="007C7BC5"/>
    <w:rsid w:val="007E7A49"/>
    <w:rsid w:val="00836350"/>
    <w:rsid w:val="008D6A48"/>
    <w:rsid w:val="008D7DC9"/>
    <w:rsid w:val="00A35468"/>
    <w:rsid w:val="00AB2F5B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7CE6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2023-04-12T06:52:00Z</dcterms:created>
  <dcterms:modified xsi:type="dcterms:W3CDTF">2023-06-08T08:20:00Z</dcterms:modified>
</cp:coreProperties>
</file>